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724B"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Naziv obveznika: Škola primijenjene umjetnosti i dizajna Osijek</w:t>
      </w:r>
    </w:p>
    <w:p w14:paraId="6B5E765E"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Sjedište obveznika: 31000 Osijek                            </w:t>
      </w:r>
    </w:p>
    <w:p w14:paraId="21EFED29" w14:textId="6BC485BD"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Adresa sjedišta obveznika: Drinska </w:t>
      </w:r>
      <w:r>
        <w:rPr>
          <w:rFonts w:ascii="Calibri" w:eastAsia="Calibri" w:hAnsi="Calibri" w:cs="Times New Roman"/>
        </w:rPr>
        <w:t xml:space="preserve">ulica </w:t>
      </w:r>
      <w:r w:rsidRPr="00AC2524">
        <w:rPr>
          <w:rFonts w:ascii="Calibri" w:eastAsia="Calibri" w:hAnsi="Calibri" w:cs="Times New Roman"/>
        </w:rPr>
        <w:t xml:space="preserve">12  </w:t>
      </w:r>
    </w:p>
    <w:p w14:paraId="0C69FEDC"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IBAN: HR5023600001502689035</w:t>
      </w:r>
    </w:p>
    <w:p w14:paraId="596303E7"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RKP: 17739                                                                </w:t>
      </w:r>
    </w:p>
    <w:p w14:paraId="4699A7C8"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Matični broj: 03014169                                                        </w:t>
      </w:r>
    </w:p>
    <w:p w14:paraId="0FC68EF5"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OIB: 09179210440                                                                                                        </w:t>
      </w:r>
    </w:p>
    <w:p w14:paraId="4F6704AD"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Razina: 31</w:t>
      </w:r>
    </w:p>
    <w:p w14:paraId="3E2B391D"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Razdjel: 000</w:t>
      </w:r>
    </w:p>
    <w:p w14:paraId="1B3AE654"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Šifra djelatnosti:8532</w:t>
      </w:r>
    </w:p>
    <w:p w14:paraId="3DA2E15C"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Šifra grada: 312     </w:t>
      </w:r>
    </w:p>
    <w:p w14:paraId="2CAC4CC8" w14:textId="77777777"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 xml:space="preserve">Šifra županije: 14                                                               </w:t>
      </w:r>
    </w:p>
    <w:p w14:paraId="690A5DA2" w14:textId="522FF654" w:rsidR="00AC2524" w:rsidRPr="00AC2524" w:rsidRDefault="00AC2524" w:rsidP="00AC2524">
      <w:pPr>
        <w:spacing w:after="0" w:line="240" w:lineRule="auto"/>
        <w:jc w:val="both"/>
        <w:rPr>
          <w:rFonts w:ascii="Calibri" w:eastAsia="Calibri" w:hAnsi="Calibri" w:cs="Times New Roman"/>
        </w:rPr>
      </w:pPr>
      <w:r w:rsidRPr="00AC2524">
        <w:rPr>
          <w:rFonts w:ascii="Calibri" w:eastAsia="Calibri" w:hAnsi="Calibri" w:cs="Times New Roman"/>
        </w:rPr>
        <w:t>Oznaka razdoblja: 202</w:t>
      </w:r>
      <w:r>
        <w:rPr>
          <w:rFonts w:ascii="Calibri" w:eastAsia="Calibri" w:hAnsi="Calibri" w:cs="Times New Roman"/>
        </w:rPr>
        <w:t>5-12</w:t>
      </w:r>
    </w:p>
    <w:p w14:paraId="4DB70CE8" w14:textId="77777777" w:rsidR="00AC2524" w:rsidRPr="00AC2524" w:rsidRDefault="00AC2524" w:rsidP="00AC2524">
      <w:pPr>
        <w:spacing w:after="0" w:line="276" w:lineRule="auto"/>
        <w:jc w:val="both"/>
        <w:rPr>
          <w:rFonts w:ascii="Calibri" w:eastAsia="Calibri" w:hAnsi="Calibri" w:cs="Calibri"/>
        </w:rPr>
      </w:pPr>
    </w:p>
    <w:p w14:paraId="02770032" w14:textId="77777777" w:rsidR="00AC2524" w:rsidRPr="00AC2524" w:rsidRDefault="00AC2524" w:rsidP="00AC2524">
      <w:pPr>
        <w:spacing w:after="0" w:line="276" w:lineRule="auto"/>
        <w:jc w:val="both"/>
        <w:rPr>
          <w:rFonts w:ascii="Calibri" w:eastAsia="Calibri" w:hAnsi="Calibri" w:cs="Calibri"/>
        </w:rPr>
      </w:pPr>
    </w:p>
    <w:p w14:paraId="2A4F1E76" w14:textId="77777777" w:rsidR="00AC2524" w:rsidRPr="00AC2524" w:rsidRDefault="00AC2524" w:rsidP="00AC2524">
      <w:pPr>
        <w:spacing w:after="0" w:line="276" w:lineRule="auto"/>
        <w:jc w:val="both"/>
        <w:rPr>
          <w:rFonts w:ascii="Calibri" w:eastAsia="Calibri" w:hAnsi="Calibri" w:cs="Calibri"/>
        </w:rPr>
      </w:pPr>
    </w:p>
    <w:p w14:paraId="3850535C" w14:textId="77777777" w:rsidR="00AC2524" w:rsidRPr="00AC2524" w:rsidRDefault="00AC2524" w:rsidP="00AC2524">
      <w:pPr>
        <w:spacing w:after="0" w:line="240" w:lineRule="auto"/>
        <w:jc w:val="center"/>
        <w:rPr>
          <w:rFonts w:ascii="Calibri" w:eastAsia="Calibri" w:hAnsi="Calibri" w:cs="Calibri"/>
          <w:b/>
        </w:rPr>
      </w:pPr>
      <w:r w:rsidRPr="00AC2524">
        <w:rPr>
          <w:rFonts w:ascii="Calibri" w:eastAsia="Calibri" w:hAnsi="Calibri" w:cs="Calibri"/>
          <w:b/>
        </w:rPr>
        <w:t>BILJEŠKE UZ FINANCIJSKE IZVJEŠTAJE</w:t>
      </w:r>
    </w:p>
    <w:p w14:paraId="7C9ACDA1" w14:textId="07B7C700" w:rsidR="00AC2524" w:rsidRDefault="00AC2524" w:rsidP="00AC2524">
      <w:pPr>
        <w:spacing w:after="0" w:line="240" w:lineRule="auto"/>
        <w:jc w:val="center"/>
        <w:rPr>
          <w:rFonts w:ascii="Calibri" w:eastAsia="Calibri" w:hAnsi="Calibri" w:cs="Calibri"/>
          <w:b/>
        </w:rPr>
      </w:pPr>
      <w:r w:rsidRPr="00AC2524">
        <w:rPr>
          <w:rFonts w:ascii="Calibri" w:eastAsia="Calibri" w:hAnsi="Calibri" w:cs="Calibri"/>
          <w:b/>
        </w:rPr>
        <w:t>ZA RAZDOBLJE OD 1. SIJEČNJA DO 31. PROSINCA 202</w:t>
      </w:r>
      <w:r>
        <w:rPr>
          <w:rFonts w:ascii="Calibri" w:eastAsia="Calibri" w:hAnsi="Calibri" w:cs="Calibri"/>
          <w:b/>
        </w:rPr>
        <w:t>5</w:t>
      </w:r>
      <w:r w:rsidRPr="00AC2524">
        <w:rPr>
          <w:rFonts w:ascii="Calibri" w:eastAsia="Calibri" w:hAnsi="Calibri" w:cs="Calibri"/>
          <w:b/>
        </w:rPr>
        <w:t>.GODINE</w:t>
      </w:r>
    </w:p>
    <w:p w14:paraId="305A08E4" w14:textId="0913EE05" w:rsidR="00AC2524" w:rsidRDefault="00AC2524" w:rsidP="00AC2524">
      <w:pPr>
        <w:spacing w:after="0" w:line="240" w:lineRule="auto"/>
        <w:jc w:val="center"/>
        <w:rPr>
          <w:rFonts w:ascii="Calibri" w:eastAsia="Calibri" w:hAnsi="Calibri" w:cs="Calibri"/>
          <w:b/>
        </w:rPr>
      </w:pPr>
    </w:p>
    <w:p w14:paraId="5C9EEB77" w14:textId="77777777" w:rsidR="00AC2524" w:rsidRPr="00AC2524" w:rsidRDefault="00AC2524" w:rsidP="00AC2524">
      <w:pPr>
        <w:spacing w:after="0" w:line="240" w:lineRule="auto"/>
        <w:jc w:val="center"/>
        <w:rPr>
          <w:rFonts w:ascii="Calibri" w:eastAsia="Calibri" w:hAnsi="Calibri" w:cs="Calibri"/>
          <w:b/>
        </w:rPr>
      </w:pPr>
    </w:p>
    <w:p w14:paraId="392B789C" w14:textId="77777777" w:rsidR="00AC2524" w:rsidRDefault="00AC2524" w:rsidP="00AC2524">
      <w:pPr>
        <w:jc w:val="both"/>
      </w:pPr>
      <w:r>
        <w:t>Škola primijenjene umjetnosti i dizajna Osijek posluje u skladu sa Zakonom o odgoju i obrazovanju u osnovnoj i srednjoj školi (NN 87/08, 86/09, 92/10, 105/10, 90/11, 5/12, 16/12, 86/12, 126/12, 94/13, 152/14, 07/17, 68/18, 98/19, 64/20, 151/22, 156/23) te Statutom škole. Škola obavlja djelatnost tehničkog i strukovnog obrazovanja koja se odvija u jednoj zgradi u dvosmjenskoj nastavi.</w:t>
      </w:r>
    </w:p>
    <w:p w14:paraId="6EFF6405" w14:textId="52B1723D" w:rsidR="00A60556" w:rsidRDefault="00AC2524" w:rsidP="00AC2524">
      <w:pPr>
        <w:jc w:val="both"/>
      </w:pPr>
      <w:r>
        <w:t xml:space="preserve">Financijski izvještaji Škole primijenjene umjetnosti i dizajna Osijek sastavljeni su nakon što su proknjižene sve poslovne promjene, događaji i transakcije za razdoblje siječanj – prosinac 2025. te nakon što su knjiženja obavljena pravilno i ažurno temeljem vjerodostojne knjigovodstvene dokumentacije prema propisanom računskom planu i u skladu s financijskim planom odobrenim od nadležnih tijela. Izvještaji su sastavljeni i predaju se prema odredbama Pravilnika o financijskom izvještavanju u proračunskom računovodstvu (NN 37/22) u zakonom određenim rokovima što za proračunske korisnike jedinica lokalne i područne samouprave znači predaju do 31. siječnja 2026. godine. Za sastavljanje i predaju financijskih izvještaja korišteni su elektronski obrasci koji su preuzeti putem aplikacije Financijsko izvještavanje u proračunskom sustavu i Registru proračunskih i izvanproračunskih korisnika (aplikacija RKPFI). Osoba odgovorna za sastavljanje financijskih izvještaja je voditelj računovodstva Darijan Petrač, a odgovorna osoba za predaju financijskih izvještaja je ravnateljica Kristina </w:t>
      </w:r>
      <w:proofErr w:type="spellStart"/>
      <w:r>
        <w:t>Kopf</w:t>
      </w:r>
      <w:proofErr w:type="spellEnd"/>
      <w:r>
        <w:t>.</w:t>
      </w:r>
    </w:p>
    <w:p w14:paraId="7C786765" w14:textId="32239AB5" w:rsidR="00715B0E" w:rsidRDefault="00715B0E" w:rsidP="00AC2524">
      <w:pPr>
        <w:jc w:val="both"/>
      </w:pPr>
    </w:p>
    <w:p w14:paraId="57FF4F87" w14:textId="77777777" w:rsidR="00715B0E" w:rsidRPr="00EC100C" w:rsidRDefault="00715B0E" w:rsidP="00715B0E">
      <w:pPr>
        <w:tabs>
          <w:tab w:val="left" w:pos="2355"/>
        </w:tabs>
        <w:spacing w:line="240" w:lineRule="auto"/>
        <w:jc w:val="both"/>
        <w:rPr>
          <w:rFonts w:ascii="Calibri" w:hAnsi="Calibri" w:cs="Calibri"/>
          <w:b/>
          <w:u w:val="single"/>
        </w:rPr>
      </w:pPr>
      <w:r w:rsidRPr="00DD5D49">
        <w:rPr>
          <w:rFonts w:ascii="Calibri" w:hAnsi="Calibri" w:cs="Calibri"/>
          <w:b/>
          <w:u w:val="single"/>
        </w:rPr>
        <w:t>BILJEŠKE  UZ IZVJEŠTAJ  BILANCE</w:t>
      </w:r>
    </w:p>
    <w:p w14:paraId="1AF2E5E7" w14:textId="77777777" w:rsidR="00715B0E" w:rsidRDefault="00715B0E" w:rsidP="00AC2524">
      <w:pPr>
        <w:jc w:val="both"/>
      </w:pPr>
    </w:p>
    <w:p w14:paraId="7C79E49A" w14:textId="29FC07BA" w:rsidR="00715B0E" w:rsidRPr="00715B0E" w:rsidRDefault="00715B0E" w:rsidP="00715B0E">
      <w:pPr>
        <w:jc w:val="both"/>
        <w:rPr>
          <w:b/>
          <w:bCs/>
        </w:rPr>
      </w:pPr>
      <w:r w:rsidRPr="00715B0E">
        <w:rPr>
          <w:b/>
          <w:bCs/>
        </w:rPr>
        <w:t>Bilješka br. 1</w:t>
      </w:r>
    </w:p>
    <w:p w14:paraId="6B43E7FF" w14:textId="77777777" w:rsidR="00715B0E" w:rsidRDefault="00715B0E" w:rsidP="00715B0E">
      <w:pPr>
        <w:jc w:val="both"/>
      </w:pPr>
      <w:r>
        <w:t xml:space="preserve">124 – Potraživanja za više plaćene poreze i doprinose - Iskazana su potraživanja za povrat više uplaćenih doprinosa u iznosu 2.922,35 </w:t>
      </w:r>
      <w:proofErr w:type="spellStart"/>
      <w:r>
        <w:t>eur</w:t>
      </w:r>
      <w:proofErr w:type="spellEnd"/>
      <w:r>
        <w:t xml:space="preserve">. </w:t>
      </w:r>
    </w:p>
    <w:p w14:paraId="27280BD0" w14:textId="77777777" w:rsidR="00715B0E" w:rsidRDefault="00715B0E" w:rsidP="00715B0E">
      <w:pPr>
        <w:jc w:val="both"/>
      </w:pPr>
      <w:r>
        <w:t xml:space="preserve">129 – Ostala potraživanja – iskazano smanjenje odnosni se na prethodno knjiženje naknade plaće za bolovanje na teret HZZO-a koje je Hrvatski zavod za zdravstveno osiguranje sukladno Zakonu o obveznom zdravstvenom osiguranju (NN 80/13, 137/13, 98/19 i 33/23) refundirao proračunskim </w:t>
      </w:r>
      <w:r>
        <w:lastRenderedPageBreak/>
        <w:t>korisnicima čije se plaće isplaćuju na teret sredstava državnog proračuna. Dopisom HZZO-a zatvorena su navedena potraživanja.</w:t>
      </w:r>
    </w:p>
    <w:p w14:paraId="74F41408" w14:textId="77777777" w:rsidR="00715B0E" w:rsidRDefault="00715B0E" w:rsidP="00715B0E">
      <w:pPr>
        <w:jc w:val="both"/>
      </w:pPr>
    </w:p>
    <w:p w14:paraId="4659ECE0" w14:textId="6B37ED90" w:rsidR="00715B0E" w:rsidRPr="00715B0E" w:rsidRDefault="00715B0E" w:rsidP="00715B0E">
      <w:pPr>
        <w:jc w:val="both"/>
        <w:rPr>
          <w:b/>
          <w:bCs/>
        </w:rPr>
      </w:pPr>
      <w:r w:rsidRPr="00715B0E">
        <w:rPr>
          <w:b/>
          <w:bCs/>
        </w:rPr>
        <w:t>Bilješka br. 2</w:t>
      </w:r>
    </w:p>
    <w:p w14:paraId="02E11DB4" w14:textId="77777777" w:rsidR="00715B0E" w:rsidRDefault="00715B0E" w:rsidP="00715B0E">
      <w:pPr>
        <w:jc w:val="both"/>
      </w:pPr>
      <w:r>
        <w:t>92211 – Višak prihoda poslovanja i 92222 – Manjak prihoda od nefinancijske imovine</w:t>
      </w:r>
    </w:p>
    <w:p w14:paraId="113D2B14" w14:textId="5C14E27A" w:rsidR="00715B0E" w:rsidRDefault="00715B0E" w:rsidP="00715B0E">
      <w:pPr>
        <w:jc w:val="both"/>
      </w:pPr>
      <w:r>
        <w:t xml:space="preserve">Podaci u bilanci iskazani su nakon obvezne korekcije rezultata sukladno čl.82. Pravilnika o proračunskom računovodstvu te je iskazan višak prihoda poslovanja u iznosu 112.008,90 </w:t>
      </w:r>
      <w:proofErr w:type="spellStart"/>
      <w:r>
        <w:t>eur</w:t>
      </w:r>
      <w:proofErr w:type="spellEnd"/>
      <w:r>
        <w:t xml:space="preserve"> i manjak prihoda od nefinancijske imovine u iznosu od 9.599,45 </w:t>
      </w:r>
      <w:proofErr w:type="spellStart"/>
      <w:r>
        <w:t>eur</w:t>
      </w:r>
      <w:proofErr w:type="spellEnd"/>
      <w:r>
        <w:t>.</w:t>
      </w:r>
      <w:r w:rsidR="009C7A57">
        <w:t>, što je identično podacima navedenima u obrascu PR-RAS.</w:t>
      </w:r>
    </w:p>
    <w:p w14:paraId="4B390AA8" w14:textId="18824962" w:rsidR="00715B0E" w:rsidRDefault="00715B0E" w:rsidP="00715B0E">
      <w:pPr>
        <w:spacing w:after="200" w:line="240" w:lineRule="auto"/>
        <w:jc w:val="both"/>
        <w:rPr>
          <w:rFonts w:ascii="Calibri" w:eastAsia="Calibri" w:hAnsi="Calibri" w:cs="Calibri"/>
        </w:rPr>
      </w:pPr>
      <w:r w:rsidRPr="00715B0E">
        <w:rPr>
          <w:rFonts w:ascii="Calibri" w:eastAsia="Calibri" w:hAnsi="Calibri" w:cs="Calibri"/>
        </w:rPr>
        <w:t>Izvršena je propisana obvezna korekcija rezultata temeljem čl. 82. Pravilnika o proračunskom računovodstvu i računskom planu s datumom 31.12.202</w:t>
      </w:r>
      <w:r w:rsidR="009C7A57">
        <w:rPr>
          <w:rFonts w:ascii="Calibri" w:eastAsia="Calibri" w:hAnsi="Calibri" w:cs="Calibri"/>
        </w:rPr>
        <w:t>5</w:t>
      </w:r>
      <w:r w:rsidRPr="00715B0E">
        <w:rPr>
          <w:rFonts w:ascii="Calibri" w:eastAsia="Calibri" w:hAnsi="Calibri" w:cs="Calibri"/>
        </w:rPr>
        <w:t xml:space="preserve">. godine za nabavljenu nefinancijsku imovinu u ukupnom iznosu od </w:t>
      </w:r>
      <w:r w:rsidR="00C21774" w:rsidRPr="00C21774">
        <w:rPr>
          <w:rFonts w:ascii="Calibri" w:eastAsia="Calibri" w:hAnsi="Calibri" w:cs="Calibri"/>
        </w:rPr>
        <w:t>49.582,85</w:t>
      </w:r>
      <w:r w:rsidRPr="00715B0E">
        <w:rPr>
          <w:rFonts w:ascii="Calibri" w:eastAsia="Calibri" w:hAnsi="Calibri" w:cs="Calibri"/>
        </w:rPr>
        <w:t xml:space="preserve"> </w:t>
      </w:r>
      <w:proofErr w:type="spellStart"/>
      <w:r w:rsidRPr="00715B0E">
        <w:rPr>
          <w:rFonts w:ascii="Calibri" w:eastAsia="Calibri" w:hAnsi="Calibri" w:cs="Calibri"/>
        </w:rPr>
        <w:t>eur</w:t>
      </w:r>
      <w:proofErr w:type="spellEnd"/>
      <w:r w:rsidRPr="00715B0E">
        <w:rPr>
          <w:rFonts w:ascii="Calibri" w:eastAsia="Calibri" w:hAnsi="Calibri" w:cs="Calibri"/>
        </w:rPr>
        <w:t>. Odnosi se na</w:t>
      </w:r>
      <w:r w:rsidR="00C21774">
        <w:rPr>
          <w:rFonts w:ascii="Calibri" w:eastAsia="Calibri" w:hAnsi="Calibri" w:cs="Calibri"/>
        </w:rPr>
        <w:t xml:space="preserve"> ispravak vrijednosti građevinskih objekata, postrojenja i opreme te knjiga, umjetničkih djela i ostalih izložbenih vrijednosti.</w:t>
      </w:r>
    </w:p>
    <w:p w14:paraId="5945EFF2" w14:textId="77777777" w:rsidR="0033482D" w:rsidRDefault="0033482D" w:rsidP="00715B0E">
      <w:pPr>
        <w:spacing w:after="200" w:line="240" w:lineRule="auto"/>
        <w:jc w:val="both"/>
        <w:rPr>
          <w:rFonts w:ascii="Calibri" w:eastAsia="Calibri" w:hAnsi="Calibri" w:cs="Calibri"/>
        </w:rPr>
      </w:pPr>
    </w:p>
    <w:p w14:paraId="346A3BF0" w14:textId="495A0903" w:rsidR="00C21774" w:rsidRDefault="00C21774" w:rsidP="00715B0E">
      <w:pPr>
        <w:spacing w:after="200" w:line="240" w:lineRule="auto"/>
        <w:jc w:val="both"/>
        <w:rPr>
          <w:rFonts w:ascii="Calibri" w:eastAsia="Calibri" w:hAnsi="Calibri" w:cs="Calibri"/>
          <w:b/>
          <w:bCs/>
        </w:rPr>
      </w:pPr>
      <w:r w:rsidRPr="00C21774">
        <w:rPr>
          <w:rFonts w:ascii="Calibri" w:eastAsia="Calibri" w:hAnsi="Calibri" w:cs="Calibri"/>
          <w:b/>
          <w:bCs/>
        </w:rPr>
        <w:t>Bilješka br. 3</w:t>
      </w:r>
    </w:p>
    <w:p w14:paraId="1E18814C" w14:textId="1E0748D8" w:rsidR="00C21774" w:rsidRPr="00C21774" w:rsidRDefault="00C21774" w:rsidP="00715B0E">
      <w:pPr>
        <w:spacing w:after="200" w:line="240" w:lineRule="auto"/>
        <w:jc w:val="both"/>
        <w:rPr>
          <w:rFonts w:eastAsia="Calibri" w:cstheme="minorHAnsi"/>
        </w:rPr>
      </w:pPr>
      <w:r w:rsidRPr="00C21774">
        <w:rPr>
          <w:rFonts w:eastAsia="Calibri" w:cstheme="minorHAnsi"/>
        </w:rPr>
        <w:t>Na  kontu</w:t>
      </w:r>
      <w:r w:rsidR="0033482D">
        <w:rPr>
          <w:rFonts w:eastAsia="Calibri" w:cstheme="minorHAnsi"/>
        </w:rPr>
        <w:t xml:space="preserve"> 16615005 Potraživanja za prihode od pruženih usluge  - izdavanje duplikata svjedodžbi te kontu 96615005 Obračunati prihodi od pruženih usluga – izdavanje duplikata svjedodžbi izvršena je korekcija od 142,99 </w:t>
      </w:r>
      <w:proofErr w:type="spellStart"/>
      <w:r w:rsidR="0033482D">
        <w:rPr>
          <w:rFonts w:eastAsia="Calibri" w:cstheme="minorHAnsi"/>
        </w:rPr>
        <w:t>eur</w:t>
      </w:r>
      <w:proofErr w:type="spellEnd"/>
      <w:r w:rsidR="0033482D">
        <w:rPr>
          <w:rFonts w:eastAsia="Calibri" w:cstheme="minorHAnsi"/>
        </w:rPr>
        <w:t xml:space="preserve"> s obzirom da je prvotno navedeni konto imao saldo na potražnoj strani bruto bilance. Razlog tome jest što smo pojedine prihode od izdavanja duplikata svjedodžbi priznali bez da smo ih prethodno vezali uz određenu izlaznu fakturu.</w:t>
      </w:r>
    </w:p>
    <w:p w14:paraId="7D5F3C88" w14:textId="77777777" w:rsidR="00C21774" w:rsidRPr="00715B0E" w:rsidRDefault="00C21774" w:rsidP="00715B0E">
      <w:pPr>
        <w:spacing w:after="200" w:line="240" w:lineRule="auto"/>
        <w:jc w:val="both"/>
        <w:rPr>
          <w:rFonts w:ascii="Calibri" w:eastAsia="Calibri" w:hAnsi="Calibri" w:cs="Calibri"/>
          <w:b/>
          <w:bCs/>
        </w:rPr>
      </w:pPr>
    </w:p>
    <w:p w14:paraId="4E71FFDC" w14:textId="6BD9A125" w:rsidR="00715B0E" w:rsidRPr="00DD5D49" w:rsidRDefault="00715B0E" w:rsidP="00715B0E">
      <w:pPr>
        <w:spacing w:line="240" w:lineRule="auto"/>
        <w:jc w:val="both"/>
        <w:rPr>
          <w:rFonts w:ascii="Calibri" w:hAnsi="Calibri" w:cs="Calibri"/>
          <w:b/>
        </w:rPr>
      </w:pPr>
      <w:r w:rsidRPr="00DD5D49">
        <w:rPr>
          <w:rFonts w:ascii="Calibri" w:hAnsi="Calibri" w:cs="Calibri"/>
          <w:b/>
        </w:rPr>
        <w:t xml:space="preserve">Bilješka br. </w:t>
      </w:r>
      <w:r w:rsidR="00C21774">
        <w:rPr>
          <w:rFonts w:ascii="Calibri" w:hAnsi="Calibri" w:cs="Calibri"/>
          <w:b/>
        </w:rPr>
        <w:t>4</w:t>
      </w:r>
    </w:p>
    <w:p w14:paraId="06718506" w14:textId="6B12EB5B" w:rsidR="00715B0E" w:rsidRDefault="00715B0E" w:rsidP="00715B0E">
      <w:pPr>
        <w:spacing w:line="240" w:lineRule="auto"/>
        <w:jc w:val="both"/>
        <w:rPr>
          <w:rFonts w:ascii="Calibri" w:hAnsi="Calibri" w:cs="Calibri"/>
        </w:rPr>
      </w:pPr>
      <w:r w:rsidRPr="00DD5D49">
        <w:rPr>
          <w:rFonts w:ascii="Calibri" w:hAnsi="Calibri" w:cs="Calibri"/>
        </w:rPr>
        <w:t>Školska ustanova nema iskazane podatke u bilanci koji se odnose na popis sudskih sporova u tijeku niti popis ugovornih odnosa i slično koji uz ispunjenje određenih uvjeta, mogu postati imovina ili obveza (dana kreditna pisma, hipoteke i sličn</w:t>
      </w:r>
      <w:r>
        <w:rPr>
          <w:rFonts w:ascii="Calibri" w:hAnsi="Calibri" w:cs="Calibri"/>
        </w:rPr>
        <w:t>o)</w:t>
      </w:r>
      <w:r w:rsidRPr="00DD5D49">
        <w:rPr>
          <w:rFonts w:ascii="Calibri" w:hAnsi="Calibri" w:cs="Calibri"/>
        </w:rPr>
        <w:t xml:space="preserve">. </w:t>
      </w:r>
    </w:p>
    <w:p w14:paraId="4FDBF719" w14:textId="77777777" w:rsidR="0033482D" w:rsidRPr="00DD5D49" w:rsidRDefault="0033482D" w:rsidP="00715B0E">
      <w:pPr>
        <w:spacing w:line="240" w:lineRule="auto"/>
        <w:jc w:val="both"/>
        <w:rPr>
          <w:rFonts w:ascii="Calibri" w:hAnsi="Calibri" w:cs="Calibri"/>
        </w:rPr>
      </w:pPr>
    </w:p>
    <w:p w14:paraId="4C08F273" w14:textId="25BFC7A0" w:rsidR="00715B0E" w:rsidRPr="00DD5D49" w:rsidRDefault="00715B0E" w:rsidP="00715B0E">
      <w:pPr>
        <w:spacing w:line="240" w:lineRule="auto"/>
        <w:jc w:val="both"/>
        <w:rPr>
          <w:rFonts w:ascii="Calibri" w:hAnsi="Calibri" w:cs="Calibri"/>
          <w:b/>
        </w:rPr>
      </w:pPr>
      <w:r w:rsidRPr="00DD5D49">
        <w:rPr>
          <w:rFonts w:ascii="Calibri" w:hAnsi="Calibri" w:cs="Calibri"/>
          <w:b/>
        </w:rPr>
        <w:t xml:space="preserve">Bilješka br. </w:t>
      </w:r>
      <w:r w:rsidR="00C21774">
        <w:rPr>
          <w:rFonts w:ascii="Calibri" w:hAnsi="Calibri" w:cs="Calibri"/>
          <w:b/>
        </w:rPr>
        <w:t>5</w:t>
      </w:r>
    </w:p>
    <w:p w14:paraId="0E49F342" w14:textId="10F7418A" w:rsidR="00715B0E" w:rsidRDefault="00715B0E" w:rsidP="00715B0E">
      <w:pPr>
        <w:spacing w:line="240" w:lineRule="auto"/>
        <w:jc w:val="both"/>
      </w:pPr>
      <w:r w:rsidRPr="00483D2B">
        <w:t xml:space="preserve">991 – </w:t>
      </w:r>
      <w:proofErr w:type="spellStart"/>
      <w:r w:rsidRPr="00483D2B">
        <w:t>Izvanbilančni</w:t>
      </w:r>
      <w:proofErr w:type="spellEnd"/>
      <w:r w:rsidRPr="00483D2B">
        <w:t xml:space="preserve"> zapisi-aktiva i 996 – </w:t>
      </w:r>
      <w:proofErr w:type="spellStart"/>
      <w:r w:rsidRPr="00483D2B">
        <w:t>izvanbilančni</w:t>
      </w:r>
      <w:proofErr w:type="spellEnd"/>
      <w:r w:rsidRPr="00483D2B">
        <w:t xml:space="preserve"> zapisi-pasiva – u </w:t>
      </w:r>
      <w:proofErr w:type="spellStart"/>
      <w:r w:rsidRPr="00483D2B">
        <w:t>izvanbilančnim</w:t>
      </w:r>
      <w:proofErr w:type="spellEnd"/>
      <w:r w:rsidRPr="00483D2B">
        <w:t xml:space="preserve"> zapisima</w:t>
      </w:r>
      <w:r>
        <w:t xml:space="preserve"> nema evidentirane tuđe imovine na korištenju. </w:t>
      </w:r>
      <w:r w:rsidRPr="00483D2B">
        <w:t xml:space="preserve"> </w:t>
      </w:r>
      <w:r w:rsidR="0033482D">
        <w:t>Napominjemo kako je još</w:t>
      </w:r>
      <w:r>
        <w:t xml:space="preserve"> 2024. godini Škola je primila </w:t>
      </w:r>
      <w:bookmarkStart w:id="0" w:name="_Hlk189037419"/>
      <w:r w:rsidRPr="00194C71">
        <w:t>Odluku o prijenosu prava vlasništva na opremi</w:t>
      </w:r>
      <w:r>
        <w:t xml:space="preserve"> KLASA: 100-910/24/283, URBROJ: I88002-650-349-24-4 od Hrvatske akademske i istraživačke mreže – </w:t>
      </w:r>
      <w:proofErr w:type="spellStart"/>
      <w:r>
        <w:t>Carnet</w:t>
      </w:r>
      <w:proofErr w:type="spellEnd"/>
      <w:r>
        <w:t>. Potrebnim knjiženjima imovina je zavedena u vlasništvo Škole</w:t>
      </w:r>
      <w:bookmarkEnd w:id="0"/>
      <w:r>
        <w:t>.</w:t>
      </w:r>
    </w:p>
    <w:p w14:paraId="7899F564" w14:textId="4567E840" w:rsidR="00FC5786" w:rsidRDefault="00FC5786" w:rsidP="00715B0E">
      <w:pPr>
        <w:spacing w:line="240" w:lineRule="auto"/>
        <w:jc w:val="both"/>
      </w:pPr>
    </w:p>
    <w:p w14:paraId="3E45C0E2" w14:textId="15056B95" w:rsidR="00FC5786" w:rsidRDefault="00FC5786" w:rsidP="00715B0E">
      <w:pPr>
        <w:spacing w:line="240" w:lineRule="auto"/>
        <w:jc w:val="both"/>
      </w:pPr>
    </w:p>
    <w:p w14:paraId="0BFCDF91" w14:textId="7F196622" w:rsidR="00FC5786" w:rsidRDefault="00FC5786" w:rsidP="00715B0E">
      <w:pPr>
        <w:spacing w:line="240" w:lineRule="auto"/>
        <w:jc w:val="both"/>
      </w:pPr>
    </w:p>
    <w:p w14:paraId="0C7029DB" w14:textId="460261A4" w:rsidR="00FC5786" w:rsidRDefault="00FC5786" w:rsidP="00715B0E">
      <w:pPr>
        <w:spacing w:line="240" w:lineRule="auto"/>
        <w:jc w:val="both"/>
      </w:pPr>
    </w:p>
    <w:p w14:paraId="6468BB6D" w14:textId="77777777" w:rsidR="00FC5786" w:rsidRDefault="00FC5786" w:rsidP="00715B0E">
      <w:pPr>
        <w:spacing w:line="240" w:lineRule="auto"/>
        <w:jc w:val="both"/>
      </w:pPr>
    </w:p>
    <w:p w14:paraId="6F127D13" w14:textId="33552C74" w:rsidR="00FC5786" w:rsidRDefault="00FC5786" w:rsidP="00715B0E">
      <w:pPr>
        <w:spacing w:line="240" w:lineRule="auto"/>
        <w:jc w:val="both"/>
      </w:pPr>
    </w:p>
    <w:p w14:paraId="65971D01" w14:textId="2200BA49" w:rsidR="00FC5786" w:rsidRPr="00FC5786" w:rsidRDefault="00FC5786" w:rsidP="00715B0E">
      <w:pPr>
        <w:spacing w:line="240" w:lineRule="auto"/>
        <w:jc w:val="both"/>
        <w:rPr>
          <w:b/>
          <w:bCs/>
          <w:u w:val="single"/>
        </w:rPr>
      </w:pPr>
      <w:r w:rsidRPr="00FC5786">
        <w:rPr>
          <w:b/>
          <w:bCs/>
          <w:u w:val="single"/>
        </w:rPr>
        <w:lastRenderedPageBreak/>
        <w:t>BILJEŠKE UZ IZVJEŠTAJ PR-RAS</w:t>
      </w:r>
    </w:p>
    <w:p w14:paraId="56BD242D" w14:textId="6C081D5B" w:rsidR="004742F6" w:rsidRDefault="00FC5786" w:rsidP="00715B0E">
      <w:pPr>
        <w:spacing w:line="240" w:lineRule="auto"/>
        <w:jc w:val="both"/>
      </w:pPr>
      <w:r>
        <w:br/>
      </w:r>
      <w:r>
        <w:br/>
        <w:t xml:space="preserve">Ukupni prihodi poslovanja iskazani su u iznosu od </w:t>
      </w:r>
      <w:hyperlink r:id="rId5" w:history="1">
        <w:r w:rsidRPr="00FC5786">
          <w:rPr>
            <w:rStyle w:val="Hiperveza"/>
            <w:color w:val="auto"/>
            <w:u w:val="none"/>
          </w:rPr>
          <w:t>2.244.843, 91</w:t>
        </w:r>
      </w:hyperlink>
      <w:r>
        <w:t xml:space="preserve"> eur</w:t>
      </w:r>
      <w:r>
        <w:t>a</w:t>
      </w:r>
      <w:r>
        <w:t>, što predstavlja povećanje u odnosu na prethodnu godinu za 14,00%, no valja naglasiti kako ukupni rashodi za 2025. godinu značajno nadmašuju rashode za 2024. godinu, što je u konačnici dovelo do manjka prihoda poslovanja u</w:t>
      </w:r>
      <w:r>
        <w:t xml:space="preserve"> </w:t>
      </w:r>
      <w:r>
        <w:t>2025. godini od 3.450,76 eura.</w:t>
      </w:r>
      <w:r>
        <w:br/>
      </w:r>
      <w:r>
        <w:br/>
        <w:t xml:space="preserve">Uvidom u baze podataka Riznice vidljivo je kako su najveći prihodi  poslovanja ostvareni od tekućih pomoći iz državnog proračuna, potom od proračuna nadležne Osječko-baranjske županije, a valja istaknuti i prihode od pružanja usluga koje škola ostvaruje kroz iznajmljivanje školske dvorane, participacije učenika te iznajmljivanje prostora za školsku kantinu. Prvotno dva navedena izvora prihoda koriste se najvećim dijelom za isplate plaća i ostalih materijalnih prava djelatnicima te održavanje i opskrbu zgrade škole nužnim potrepštinama. Kako se radi o školi koja primarno potiče umjetničko izražavanje i stvaralaštvo učenika, prihode od pruženih usluga škola je prvenstveno </w:t>
      </w:r>
      <w:proofErr w:type="spellStart"/>
      <w:r>
        <w:t>namjenila</w:t>
      </w:r>
      <w:proofErr w:type="spellEnd"/>
      <w:r>
        <w:t xml:space="preserve"> kupovini kompletnog nastavnog materijala koji je istima neophodan u radu.</w:t>
      </w:r>
      <w:r>
        <w:br/>
      </w:r>
      <w:r>
        <w:br/>
        <w:t xml:space="preserve">Govoreći o ukupnim rashodima poslovanja, ponajviše se ističu izdvajanja za plaće za redovan rad djelatnika, kao i izdvajanja za doprinose koji se vežu uz potonje. Također je vidljiv trend povećanja potrošnje za energente u odnosu na 2024. godinu za 15%, ali i smanjenje potrošnje za nabavu sirovina i materijala za 25,9%. Napominjemo kako su povećana izdvajanja za usluge tekućeg i investicijskog održavanja za 16,07%, što se primarno odnosi na ulaganja u sustav tehničke zaštite objekta te održavanje vodoopskrbne i toplinske infrastrukture. </w:t>
      </w:r>
      <w:r>
        <w:br/>
      </w:r>
      <w:r>
        <w:br/>
        <w:t>Unatoč tome što ukupnih prihoda od prodaje nefinancijske imovine u 2025. nije bilo, ukupni rashodi za nabavu nefinancijske imovine iznose 6.148,69 eura. Prvenstveno se to odnosi na nabavu nove računalne opreme i namještaja za opremanje učionica i profesorskih kabineta te pomoćnih instrumenata za nastavu u iznosu od 5.373,93 eura. Školska knjižnica također je opremljena novim setom lektira i udžbenika u iznosu od 774,76 eura, što je ostvareno kroz donaciju MZOM, odnosno Osječko-baranjske županije.</w:t>
      </w:r>
      <w:r>
        <w:br/>
      </w:r>
      <w:r>
        <w:br/>
        <w:t>Kako škola nema aktivnosti u pogledu zaduživanja i trgovanja financijskom imovinom, tako možemo zaključiti da sveukupni iznosi za šifre 8 i 5 iznose 0,00 eura, dakle, nije bilo niti primitaka, a niti izdataka za spomenutu kategoriju.</w:t>
      </w:r>
      <w:r>
        <w:br/>
      </w:r>
      <w:r>
        <w:br/>
      </w:r>
      <w:r>
        <w:br/>
      </w:r>
      <w:r>
        <w:br/>
      </w:r>
      <w:r w:rsidRPr="00FC5786">
        <w:rPr>
          <w:b/>
          <w:bCs/>
          <w:u w:val="single"/>
        </w:rPr>
        <w:t>BILJEŠKE UZ IZVJEŠTAJ OBVEZA</w:t>
      </w:r>
      <w:r>
        <w:br/>
      </w:r>
      <w:r>
        <w:br/>
        <w:t xml:space="preserve">Škola je kao pravna osoba pravovremeno podmirila sve svoje obveze u 2025. godini, te upravo zbog toga stavka Stanje dospjelih obveza na kraju izvještajnog razdoblja iznosi 0,00 eura. </w:t>
      </w:r>
      <w:r>
        <w:br/>
      </w:r>
      <w:r>
        <w:br/>
      </w:r>
      <w:r>
        <w:br/>
      </w:r>
      <w:r>
        <w:br/>
      </w:r>
      <w:r>
        <w:br/>
      </w:r>
      <w:r w:rsidRPr="00FC5786">
        <w:rPr>
          <w:b/>
          <w:bCs/>
          <w:u w:val="single"/>
        </w:rPr>
        <w:t>BILJEŠKE VEZANE UZ EU IZVJEŠTAJ</w:t>
      </w:r>
      <w:r>
        <w:br/>
      </w:r>
      <w:r>
        <w:br/>
        <w:t>Škola primijenjenih umjetnosti i dizajna Osijek je u 2025. godini bila aktivna u provedbi Erasmus+ projekta ERASMUS 2024-1-HR01-KA122-VET-000226215, koji je uključivao putovanja nastavnog osoblja te učenika u Portugal, odnosno na Cipar.</w:t>
      </w:r>
      <w:r>
        <w:br/>
      </w:r>
      <w:r>
        <w:br/>
      </w:r>
      <w:r>
        <w:lastRenderedPageBreak/>
        <w:t xml:space="preserve">Unatoč tome što je na </w:t>
      </w:r>
      <w:proofErr w:type="spellStart"/>
      <w:r>
        <w:t>podračun</w:t>
      </w:r>
      <w:proofErr w:type="spellEnd"/>
      <w:r>
        <w:t xml:space="preserve"> škole u 2025. godini uplaćen iznos od Agencije za mobilnost i programe EU u sveukupnom iznosu od 13.416,84 eura, iznos kojim je financiran gore naveden projekt je veći, tj. financiran je novcem koji je uplaćen prethodnih razdoblja.</w:t>
      </w:r>
      <w:r>
        <w:br/>
      </w:r>
      <w:r>
        <w:br/>
        <w:t xml:space="preserve">Valja izdvojiti kako su u provedbi projekta ERASMUS 2024-1-HR01-KA122-VET-000226215 financirani troškovi putovanja i smještaja nastavnog osoblja i učenika u spomenute države, kao i troškovi seminara i radionica na kojima su sudjelovali. </w:t>
      </w:r>
      <w:r>
        <w:br/>
      </w:r>
      <w:r>
        <w:br/>
        <w:t>Dok su nastavnici zaprimili adekvatne dnevnice za svakodnevne potrebe, svi učenici sudionici bili su financirani s 300,00 eura po učeniku, dok su učenici slabijeg imovinskog statusa bili dodatno financirani s još sveukupno 1.000,00 eura.</w:t>
      </w:r>
      <w:r>
        <w:br/>
      </w:r>
      <w:r>
        <w:br/>
        <w:t xml:space="preserve">Po povratku s projektnih aktivnosti u inozemstvu, svi nastavnici su potrebnom dokumentacijom (računi, avionske karte i sl.) opravdali financijska sredstva koje su </w:t>
      </w:r>
      <w:proofErr w:type="spellStart"/>
      <w:r>
        <w:t>su</w:t>
      </w:r>
      <w:proofErr w:type="spellEnd"/>
      <w:r>
        <w:t xml:space="preserve"> utrošili.</w:t>
      </w:r>
      <w:r>
        <w:br/>
      </w:r>
      <w:r>
        <w:br/>
        <w:t xml:space="preserve">Napominjemo kako su u prosincu 2025. godine započele isplate predujmova za Erasmus+ projekt Art </w:t>
      </w:r>
      <w:proofErr w:type="spellStart"/>
      <w:r>
        <w:t>Rules</w:t>
      </w:r>
      <w:proofErr w:type="spellEnd"/>
      <w:r>
        <w:t>! (2025-1-HR01-KA122VET-000342555) koji se odnosi na putovanje nastavnog osoblja i učenika u Portugal, odnosno Češku. Pripremne posjete nastavnika u Češku su već održane u siječnju ove godine, a nastavak aktivnosti očekuje se tijekom 2026. godine.</w:t>
      </w:r>
    </w:p>
    <w:p w14:paraId="74199C22" w14:textId="1587B20D" w:rsidR="004742F6" w:rsidRDefault="004742F6" w:rsidP="00715B0E">
      <w:pPr>
        <w:spacing w:line="240" w:lineRule="auto"/>
        <w:jc w:val="both"/>
      </w:pPr>
    </w:p>
    <w:p w14:paraId="11C64D34" w14:textId="7F8C8B5E" w:rsidR="004742F6" w:rsidRDefault="004742F6" w:rsidP="00715B0E">
      <w:pPr>
        <w:spacing w:line="240" w:lineRule="auto"/>
        <w:jc w:val="both"/>
      </w:pPr>
    </w:p>
    <w:p w14:paraId="4DCBA04A" w14:textId="77777777" w:rsidR="004742F6" w:rsidRDefault="004742F6" w:rsidP="00715B0E">
      <w:pPr>
        <w:spacing w:line="240" w:lineRule="auto"/>
        <w:jc w:val="both"/>
      </w:pPr>
    </w:p>
    <w:p w14:paraId="73C2B145" w14:textId="0F17A219" w:rsidR="004742F6" w:rsidRDefault="004742F6" w:rsidP="00715B0E">
      <w:pPr>
        <w:spacing w:line="240" w:lineRule="auto"/>
        <w:jc w:val="both"/>
      </w:pPr>
    </w:p>
    <w:p w14:paraId="0E3238F7" w14:textId="1FE79741" w:rsidR="004742F6" w:rsidRPr="00DD5D49" w:rsidRDefault="004742F6" w:rsidP="004742F6">
      <w:pPr>
        <w:tabs>
          <w:tab w:val="left" w:pos="2355"/>
        </w:tabs>
        <w:spacing w:line="240" w:lineRule="auto"/>
        <w:jc w:val="both"/>
      </w:pPr>
      <w:r w:rsidRPr="00DD5D49">
        <w:t>U Osijeku, 3</w:t>
      </w:r>
      <w:r>
        <w:t>0</w:t>
      </w:r>
      <w:r w:rsidRPr="00DD5D49">
        <w:t>.1.202</w:t>
      </w:r>
      <w:r>
        <w:t>6</w:t>
      </w:r>
      <w:r w:rsidRPr="00DD5D49">
        <w:t>.</w:t>
      </w:r>
    </w:p>
    <w:p w14:paraId="37C016DA" w14:textId="77777777" w:rsidR="004742F6" w:rsidRPr="00DD5D49" w:rsidRDefault="004742F6" w:rsidP="004742F6">
      <w:pPr>
        <w:tabs>
          <w:tab w:val="left" w:pos="2355"/>
        </w:tabs>
        <w:spacing w:line="240" w:lineRule="auto"/>
        <w:jc w:val="both"/>
      </w:pPr>
      <w:r w:rsidRPr="00DD5D49">
        <w:t xml:space="preserve">Osoba za kontaktiranje:                                                                              Odgovorna osoba:   </w:t>
      </w:r>
    </w:p>
    <w:p w14:paraId="5F3968BC" w14:textId="2272E81C" w:rsidR="004742F6" w:rsidRPr="00DD5D49" w:rsidRDefault="004742F6" w:rsidP="004742F6">
      <w:pPr>
        <w:tabs>
          <w:tab w:val="left" w:pos="2355"/>
        </w:tabs>
        <w:spacing w:line="240" w:lineRule="auto"/>
        <w:jc w:val="both"/>
      </w:pPr>
      <w:r>
        <w:t xml:space="preserve">Darijan Petrač                                                                                                       </w:t>
      </w:r>
      <w:r w:rsidRPr="00DD5D49">
        <w:t>Ravnateljica</w:t>
      </w:r>
    </w:p>
    <w:p w14:paraId="18B260A4" w14:textId="3873CF56" w:rsidR="004742F6" w:rsidRDefault="004742F6" w:rsidP="004742F6">
      <w:pPr>
        <w:spacing w:line="240" w:lineRule="auto"/>
        <w:jc w:val="both"/>
        <w:rPr>
          <w:b/>
        </w:rPr>
      </w:pPr>
      <w:r w:rsidRPr="00DD5D49">
        <w:t xml:space="preserve">Telefon za kontakt: </w:t>
      </w:r>
      <w:r>
        <w:t>031/273-126</w:t>
      </w:r>
      <w:r w:rsidRPr="00DD5D49">
        <w:t xml:space="preserve">                                                             </w:t>
      </w:r>
      <w:r>
        <w:t xml:space="preserve">   Kristina </w:t>
      </w:r>
      <w:proofErr w:type="spellStart"/>
      <w:r>
        <w:t>Kopf</w:t>
      </w:r>
      <w:proofErr w:type="spellEnd"/>
      <w:r w:rsidRPr="00DD5D49">
        <w:t>, prof.</w:t>
      </w:r>
    </w:p>
    <w:p w14:paraId="3FD03947" w14:textId="526D841C" w:rsidR="00715B0E" w:rsidRDefault="00715B0E" w:rsidP="00715B0E">
      <w:pPr>
        <w:jc w:val="both"/>
      </w:pPr>
    </w:p>
    <w:sectPr w:rsidR="00715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0121C"/>
    <w:multiLevelType w:val="hybridMultilevel"/>
    <w:tmpl w:val="8D625D44"/>
    <w:lvl w:ilvl="0" w:tplc="03CABC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D9"/>
    <w:rsid w:val="0033482D"/>
    <w:rsid w:val="004742F6"/>
    <w:rsid w:val="00715B0E"/>
    <w:rsid w:val="007A7F55"/>
    <w:rsid w:val="009C7A57"/>
    <w:rsid w:val="00A60556"/>
    <w:rsid w:val="00AC2524"/>
    <w:rsid w:val="00AC47D9"/>
    <w:rsid w:val="00C21774"/>
    <w:rsid w:val="00FC5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F52C"/>
  <w15:chartTrackingRefBased/>
  <w15:docId w15:val="{32660239-6F0A-44B7-8530-59562E52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ject">
    <w:name w:val="object"/>
    <w:basedOn w:val="Zadanifontodlomka"/>
    <w:rsid w:val="00FC5786"/>
  </w:style>
  <w:style w:type="character" w:styleId="Hiperveza">
    <w:name w:val="Hyperlink"/>
    <w:basedOn w:val="Zadanifontodlomka"/>
    <w:uiPriority w:val="99"/>
    <w:semiHidden/>
    <w:unhideWhenUsed/>
    <w:rsid w:val="00FC5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2.244.843,%2091"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Darijan Petrač</dc:creator>
  <cp:keywords/>
  <dc:description/>
  <cp:lastModifiedBy>Darijan Petrač</cp:lastModifiedBy>
  <cp:revision>2</cp:revision>
  <dcterms:created xsi:type="dcterms:W3CDTF">2026-02-02T10:29:00Z</dcterms:created>
  <dcterms:modified xsi:type="dcterms:W3CDTF">2026-02-02T10:29:00Z</dcterms:modified>
</cp:coreProperties>
</file>